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CA4A4D" w:rsidRDefault="00173BDA" w:rsidP="000B227B">
      <w:pPr>
        <w:pStyle w:val="BodyText22"/>
        <w:suppressAutoHyphens/>
        <w:jc w:val="center"/>
        <w:rPr>
          <w:b w:val="0"/>
          <w:sz w:val="20"/>
          <w:szCs w:val="19"/>
        </w:rPr>
      </w:pPr>
      <w:r>
        <w:rPr>
          <w:b w:val="0"/>
          <w:sz w:val="20"/>
          <w:szCs w:val="19"/>
        </w:rPr>
        <w:t>uzavřená podle ust.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173BDA">
        <w:rPr>
          <w:sz w:val="20"/>
          <w:szCs w:val="19"/>
        </w:rPr>
        <w:t>/20</w:t>
      </w:r>
      <w:r w:rsidR="009857BE">
        <w:rPr>
          <w:sz w:val="20"/>
          <w:szCs w:val="19"/>
        </w:rPr>
        <w:t>20</w:t>
      </w:r>
      <w:r w:rsidR="00A03259" w:rsidRPr="00D12BAD">
        <w:rPr>
          <w:sz w:val="20"/>
          <w:szCs w:val="19"/>
        </w:rPr>
        <w:t>/</w:t>
      </w:r>
      <w:r w:rsidR="000A2806" w:rsidRPr="00D12BAD">
        <w:rPr>
          <w:sz w:val="20"/>
          <w:szCs w:val="19"/>
        </w:rPr>
        <w:t>…</w:t>
      </w:r>
    </w:p>
    <w:p w:rsidR="000B6F15" w:rsidRPr="00D12BAD" w:rsidRDefault="00CA4A4D" w:rsidP="00862F1D">
      <w:pPr>
        <w:pStyle w:val="Nzev"/>
        <w:tabs>
          <w:tab w:val="clear" w:pos="2268"/>
          <w:tab w:val="left" w:pos="3119"/>
        </w:tabs>
        <w:suppressAutoHyphens/>
        <w:jc w:val="left"/>
        <w:rPr>
          <w:sz w:val="20"/>
          <w:szCs w:val="19"/>
        </w:rPr>
      </w:pPr>
      <w:r>
        <w:rPr>
          <w:sz w:val="20"/>
          <w:szCs w:val="19"/>
        </w:rPr>
        <w:t>č. smlouvy zhotovitele</w:t>
      </w:r>
      <w:r w:rsidR="000B6F15" w:rsidRPr="00D12BAD">
        <w:rPr>
          <w:sz w:val="20"/>
          <w:szCs w:val="19"/>
        </w:rPr>
        <w:t xml:space="preserve">:   </w:t>
      </w:r>
      <w:r w:rsidR="00705D1D" w:rsidRPr="00D12BAD">
        <w:rPr>
          <w:sz w:val="20"/>
          <w:szCs w:val="19"/>
        </w:rPr>
        <w:t>………………………….</w:t>
      </w:r>
    </w:p>
    <w:p w:rsidR="000B6F15" w:rsidRPr="002B6F68" w:rsidRDefault="00C6310B" w:rsidP="008E199B">
      <w:pPr>
        <w:pStyle w:val="Nzev"/>
        <w:tabs>
          <w:tab w:val="clear" w:pos="2268"/>
          <w:tab w:val="left" w:pos="3119"/>
        </w:tabs>
        <w:suppressAutoHyphens/>
        <w:jc w:val="both"/>
        <w:rPr>
          <w:sz w:val="20"/>
          <w:szCs w:val="19"/>
        </w:rPr>
      </w:pPr>
      <w:r w:rsidRPr="002B6F68">
        <w:rPr>
          <w:sz w:val="20"/>
          <w:szCs w:val="19"/>
        </w:rPr>
        <w:t xml:space="preserve">ISPROFOND/ISPROFIN:  </w:t>
      </w:r>
      <w:r w:rsidR="000B227B" w:rsidRPr="002B6F68">
        <w:rPr>
          <w:sz w:val="20"/>
          <w:szCs w:val="19"/>
        </w:rPr>
        <w:t xml:space="preserve"> </w:t>
      </w:r>
      <w:r w:rsidR="003F4ED2">
        <w:rPr>
          <w:sz w:val="20"/>
          <w:szCs w:val="19"/>
        </w:rPr>
        <w:t>5213710004</w:t>
      </w:r>
    </w:p>
    <w:p w:rsidR="001A0268" w:rsidRPr="00D12BAD" w:rsidRDefault="001A0268" w:rsidP="000C0CFB">
      <w:pPr>
        <w:pStyle w:val="Nzev"/>
        <w:suppressAutoHyphens/>
        <w:spacing w:before="120"/>
        <w:rPr>
          <w:sz w:val="20"/>
          <w:szCs w:val="19"/>
        </w:rPr>
      </w:pPr>
      <w:r w:rsidRPr="00D12BAD">
        <w:rPr>
          <w:sz w:val="20"/>
          <w:szCs w:val="19"/>
        </w:rPr>
        <w:t xml:space="preserve">na </w:t>
      </w:r>
      <w:r w:rsidR="00BA7710">
        <w:rPr>
          <w:sz w:val="20"/>
          <w:szCs w:val="19"/>
        </w:rPr>
        <w:t>stavební práce dle Změnového listu č. 29 v rámci stavby</w:t>
      </w:r>
      <w:r w:rsidR="005D135A" w:rsidRPr="00D12BAD">
        <w:rPr>
          <w:sz w:val="20"/>
          <w:szCs w:val="19"/>
        </w:rPr>
        <w:t xml:space="preserve"> </w:t>
      </w:r>
    </w:p>
    <w:p w:rsidR="008E199B" w:rsidRPr="0072612B" w:rsidRDefault="00173BDA" w:rsidP="008E199B">
      <w:pPr>
        <w:pStyle w:val="Nadpis6"/>
        <w:pBdr>
          <w:bottom w:val="single" w:sz="6" w:space="0" w:color="auto"/>
        </w:pBdr>
        <w:suppressAutoHyphens/>
      </w:pPr>
      <w:r>
        <w:t>„</w:t>
      </w:r>
      <w:r w:rsidR="00BA7710" w:rsidRPr="00BA7710">
        <w:t>Optimalizace trati Beroun (včetně) – Králův Dvůr</w:t>
      </w:r>
      <w:r w:rsidR="008E199B" w:rsidRPr="0072612B">
        <w:t>“</w:t>
      </w:r>
    </w:p>
    <w:p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 xml:space="preserve">ve věcech smluvních: </w:t>
      </w:r>
      <w:r w:rsidRPr="00CA4A4D">
        <w:rPr>
          <w:rFonts w:ascii="Arial" w:hAnsi="Arial" w:cs="Arial"/>
          <w:sz w:val="20"/>
          <w:szCs w:val="19"/>
        </w:rPr>
        <w:t xml:space="preserve">Mgr. Štěpán Hošna, </w:t>
      </w:r>
      <w:r w:rsidRPr="00D12BAD">
        <w:rPr>
          <w:rFonts w:ascii="Arial" w:hAnsi="Arial" w:cs="Arial"/>
          <w:sz w:val="20"/>
          <w:szCs w:val="19"/>
        </w:rPr>
        <w:t>vedoucí právního oddělení, tel.: 972 244</w:t>
      </w:r>
      <w:r w:rsidR="00A11B02" w:rsidRPr="00D12BAD">
        <w:rPr>
          <w:rFonts w:ascii="Arial" w:hAnsi="Arial" w:cs="Arial"/>
          <w:sz w:val="20"/>
          <w:szCs w:val="19"/>
        </w:rPr>
        <w:t> </w:t>
      </w:r>
      <w:r w:rsidRPr="00D12BAD">
        <w:rPr>
          <w:rFonts w:ascii="Arial" w:hAnsi="Arial" w:cs="Arial"/>
          <w:sz w:val="20"/>
          <w:szCs w:val="19"/>
        </w:rPr>
        <w:t>874</w:t>
      </w:r>
      <w:r w:rsidR="00A11B02" w:rsidRPr="00D12BAD">
        <w:rPr>
          <w:rFonts w:ascii="Arial" w:hAnsi="Arial" w:cs="Arial"/>
          <w:sz w:val="20"/>
          <w:szCs w:val="19"/>
        </w:rPr>
        <w:t xml:space="preserve"> </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 podpis této smlouvy a jejích případných dodatků)</w:t>
      </w:r>
    </w:p>
    <w:p w:rsidR="001A0268" w:rsidRPr="00EB7A92" w:rsidRDefault="001A0268" w:rsidP="00F1357D">
      <w:pPr>
        <w:numPr>
          <w:ilvl w:val="0"/>
          <w:numId w:val="5"/>
        </w:numPr>
        <w:tabs>
          <w:tab w:val="clear" w:pos="2160"/>
        </w:tabs>
        <w:suppressAutoHyphens/>
        <w:spacing w:before="120"/>
        <w:ind w:left="284" w:hanging="284"/>
        <w:rPr>
          <w:rFonts w:ascii="Arial" w:hAnsi="Arial" w:cs="Arial"/>
          <w:sz w:val="20"/>
          <w:szCs w:val="19"/>
        </w:rPr>
      </w:pPr>
      <w:r w:rsidRPr="00EB7A92">
        <w:rPr>
          <w:rFonts w:ascii="Arial" w:hAnsi="Arial" w:cs="Arial"/>
          <w:sz w:val="20"/>
          <w:szCs w:val="19"/>
        </w:rPr>
        <w:t>ve věcech technických</w:t>
      </w:r>
      <w:r w:rsidRPr="00CA4A4D">
        <w:rPr>
          <w:rFonts w:ascii="Arial" w:hAnsi="Arial" w:cs="Arial"/>
          <w:sz w:val="20"/>
          <w:szCs w:val="19"/>
        </w:rPr>
        <w:t xml:space="preserve">: </w:t>
      </w:r>
      <w:r w:rsidR="003F4ED2">
        <w:rPr>
          <w:rFonts w:ascii="Arial" w:hAnsi="Arial" w:cs="Arial"/>
          <w:sz w:val="20"/>
          <w:szCs w:val="19"/>
        </w:rPr>
        <w:t>Ing. Miloš Kosán</w:t>
      </w:r>
      <w:r w:rsidR="00120B3A" w:rsidRPr="00EB7A92">
        <w:rPr>
          <w:rFonts w:ascii="Arial" w:hAnsi="Arial" w:cs="Arial"/>
          <w:sz w:val="20"/>
          <w:szCs w:val="19"/>
        </w:rPr>
        <w:t xml:space="preserve"> </w:t>
      </w:r>
      <w:r w:rsidR="00F56D15" w:rsidRPr="002B6F68">
        <w:rPr>
          <w:rFonts w:ascii="Arial" w:hAnsi="Arial" w:cs="Arial"/>
          <w:sz w:val="20"/>
          <w:szCs w:val="19"/>
        </w:rPr>
        <w:t>GSM</w:t>
      </w:r>
      <w:r w:rsidR="006A7423" w:rsidRPr="002B6F68">
        <w:rPr>
          <w:rFonts w:ascii="Arial" w:hAnsi="Arial" w:cs="Arial"/>
          <w:sz w:val="20"/>
          <w:szCs w:val="19"/>
        </w:rPr>
        <w:t>:</w:t>
      </w:r>
      <w:r w:rsidR="00120B3A" w:rsidRPr="002B6F68">
        <w:rPr>
          <w:rFonts w:ascii="Arial" w:hAnsi="Arial" w:cs="Arial"/>
          <w:sz w:val="20"/>
          <w:szCs w:val="19"/>
        </w:rPr>
        <w:t xml:space="preserve"> </w:t>
      </w:r>
      <w:r w:rsidR="003F4ED2">
        <w:rPr>
          <w:rFonts w:ascii="Arial" w:hAnsi="Arial" w:cs="Arial"/>
          <w:sz w:val="20"/>
          <w:szCs w:val="19"/>
        </w:rPr>
        <w:t>725 761 476</w:t>
      </w:r>
      <w:r w:rsidR="006A7423" w:rsidRPr="00EB7A92">
        <w:rPr>
          <w:rFonts w:ascii="Arial" w:hAnsi="Arial" w:cs="Arial"/>
          <w:sz w:val="20"/>
          <w:szCs w:val="19"/>
        </w:rPr>
        <w:t>, e-mail</w:t>
      </w:r>
      <w:r w:rsidR="00120B3A" w:rsidRPr="00EB7A92">
        <w:rPr>
          <w:rFonts w:ascii="Arial" w:hAnsi="Arial" w:cs="Arial"/>
          <w:sz w:val="20"/>
          <w:szCs w:val="19"/>
        </w:rPr>
        <w:t xml:space="preserve">: </w:t>
      </w:r>
      <w:r w:rsidR="003F4ED2">
        <w:rPr>
          <w:rFonts w:ascii="Arial" w:hAnsi="Arial" w:cs="Arial"/>
          <w:sz w:val="20"/>
          <w:szCs w:val="19"/>
        </w:rPr>
        <w:t>kosan@szdc.cz</w:t>
      </w:r>
    </w:p>
    <w:p w:rsidR="00F01785" w:rsidRPr="00EB7A92" w:rsidRDefault="00120B3A" w:rsidP="00F1357D">
      <w:pPr>
        <w:numPr>
          <w:ilvl w:val="0"/>
          <w:numId w:val="5"/>
        </w:numPr>
        <w:tabs>
          <w:tab w:val="clear" w:pos="2160"/>
          <w:tab w:val="num" w:pos="284"/>
        </w:tabs>
        <w:spacing w:before="120"/>
        <w:ind w:left="284" w:hanging="284"/>
        <w:rPr>
          <w:rFonts w:ascii="Arial" w:hAnsi="Arial" w:cs="Arial"/>
          <w:i/>
          <w:color w:val="FF0000"/>
          <w:sz w:val="20"/>
          <w:szCs w:val="19"/>
        </w:rPr>
      </w:pPr>
      <w:r w:rsidRPr="00EB7A92">
        <w:rPr>
          <w:rFonts w:ascii="Arial" w:hAnsi="Arial" w:cs="Arial"/>
          <w:sz w:val="20"/>
          <w:szCs w:val="19"/>
        </w:rPr>
        <w:t>úředně oprávněný zeměměřický</w:t>
      </w:r>
      <w:r w:rsidR="001A0268" w:rsidRPr="00EB7A92">
        <w:rPr>
          <w:rFonts w:ascii="Arial" w:hAnsi="Arial" w:cs="Arial"/>
          <w:sz w:val="20"/>
          <w:szCs w:val="19"/>
        </w:rPr>
        <w:t xml:space="preserve"> inženýr</w:t>
      </w:r>
      <w:r w:rsidR="001A0268" w:rsidRPr="00CA4A4D">
        <w:rPr>
          <w:rFonts w:ascii="Arial" w:hAnsi="Arial" w:cs="Arial"/>
          <w:sz w:val="20"/>
          <w:szCs w:val="19"/>
        </w:rPr>
        <w:t>:</w:t>
      </w:r>
      <w:r w:rsidR="00B41B3F" w:rsidRPr="00CA4A4D">
        <w:rPr>
          <w:rFonts w:ascii="Arial" w:hAnsi="Arial" w:cs="Arial"/>
          <w:sz w:val="20"/>
          <w:szCs w:val="19"/>
        </w:rPr>
        <w:t xml:space="preserve"> </w:t>
      </w:r>
      <w:r w:rsidR="009857BE">
        <w:rPr>
          <w:rFonts w:ascii="Arial" w:hAnsi="Arial" w:cs="Arial"/>
          <w:sz w:val="20"/>
          <w:szCs w:val="19"/>
        </w:rPr>
        <w:t>Ing. Zdeňka Cynybulková</w:t>
      </w:r>
      <w:r w:rsidR="00F1357D" w:rsidRPr="00CA4A4D">
        <w:rPr>
          <w:rFonts w:ascii="Arial" w:hAnsi="Arial" w:cs="Arial"/>
          <w:sz w:val="20"/>
          <w:szCs w:val="19"/>
        </w:rPr>
        <w:t>,</w:t>
      </w:r>
      <w:r w:rsidR="00F1357D" w:rsidRPr="00EB7A92">
        <w:rPr>
          <w:rFonts w:ascii="Arial" w:hAnsi="Arial" w:cs="Arial"/>
          <w:sz w:val="20"/>
          <w:szCs w:val="19"/>
        </w:rPr>
        <w:t xml:space="preserve"> </w:t>
      </w:r>
      <w:r w:rsidR="00F01785" w:rsidRPr="00EB7A92">
        <w:rPr>
          <w:rFonts w:ascii="Arial" w:hAnsi="Arial" w:cs="Arial"/>
          <w:sz w:val="20"/>
          <w:szCs w:val="19"/>
        </w:rPr>
        <w:t>SŽG</w:t>
      </w:r>
      <w:r w:rsidR="00F1357D" w:rsidRPr="00EB7A92">
        <w:rPr>
          <w:rFonts w:ascii="Arial" w:hAnsi="Arial" w:cs="Arial"/>
          <w:sz w:val="20"/>
          <w:szCs w:val="19"/>
        </w:rPr>
        <w:t xml:space="preserve"> Praha</w:t>
      </w:r>
      <w:r w:rsidR="00F01785" w:rsidRPr="00EB7A92">
        <w:rPr>
          <w:rFonts w:ascii="Arial" w:hAnsi="Arial" w:cs="Arial"/>
          <w:sz w:val="20"/>
          <w:szCs w:val="19"/>
        </w:rPr>
        <w:t>,</w:t>
      </w:r>
      <w:r w:rsidR="00F1357D" w:rsidRPr="00EB7A92">
        <w:rPr>
          <w:rFonts w:ascii="Arial" w:hAnsi="Arial" w:cs="Arial"/>
          <w:sz w:val="20"/>
          <w:szCs w:val="19"/>
        </w:rPr>
        <w:t xml:space="preserve"> </w:t>
      </w:r>
    </w:p>
    <w:p w:rsidR="00F01785" w:rsidRDefault="00B15F80" w:rsidP="00F01785">
      <w:pPr>
        <w:ind w:left="2160"/>
        <w:rPr>
          <w:rFonts w:ascii="Arial" w:hAnsi="Arial" w:cs="Arial"/>
          <w:sz w:val="20"/>
          <w:szCs w:val="19"/>
        </w:rPr>
      </w:pPr>
      <w:r w:rsidRPr="00EB7A92">
        <w:rPr>
          <w:rFonts w:ascii="Arial" w:hAnsi="Arial" w:cs="Arial"/>
          <w:sz w:val="20"/>
          <w:szCs w:val="19"/>
        </w:rPr>
        <w:t xml:space="preserve">          </w:t>
      </w:r>
      <w:r w:rsidR="00F1357D" w:rsidRPr="00EB7A92">
        <w:rPr>
          <w:rFonts w:ascii="Arial" w:hAnsi="Arial" w:cs="Arial"/>
          <w:sz w:val="20"/>
          <w:szCs w:val="19"/>
        </w:rPr>
        <w:t xml:space="preserve">              </w:t>
      </w:r>
      <w:r w:rsidR="00C02278" w:rsidRPr="00EB7A92">
        <w:rPr>
          <w:rFonts w:ascii="Arial" w:hAnsi="Arial" w:cs="Arial"/>
          <w:sz w:val="20"/>
          <w:szCs w:val="19"/>
        </w:rPr>
        <w:t xml:space="preserve">   </w:t>
      </w:r>
      <w:r w:rsidR="00EB7A92">
        <w:rPr>
          <w:rFonts w:ascii="Arial" w:hAnsi="Arial" w:cs="Arial"/>
          <w:sz w:val="20"/>
          <w:szCs w:val="19"/>
        </w:rPr>
        <w:t>GSM</w:t>
      </w:r>
      <w:r w:rsidR="00C02278" w:rsidRPr="00EB7A92">
        <w:rPr>
          <w:rFonts w:ascii="Arial" w:hAnsi="Arial" w:cs="Arial"/>
          <w:sz w:val="20"/>
          <w:szCs w:val="19"/>
        </w:rPr>
        <w:t xml:space="preserve">: </w:t>
      </w:r>
      <w:r w:rsidR="009857BE">
        <w:rPr>
          <w:rFonts w:ascii="Arial" w:hAnsi="Arial" w:cs="Arial"/>
          <w:sz w:val="20"/>
          <w:szCs w:val="19"/>
        </w:rPr>
        <w:t xml:space="preserve">724 952 618 </w:t>
      </w:r>
      <w:r w:rsidR="00120B3A" w:rsidRPr="00EB7A92">
        <w:rPr>
          <w:rFonts w:ascii="Arial" w:hAnsi="Arial" w:cs="Arial"/>
          <w:sz w:val="20"/>
          <w:szCs w:val="19"/>
        </w:rPr>
        <w:t>e-</w:t>
      </w:r>
      <w:r w:rsidRPr="00EB7A92">
        <w:rPr>
          <w:rFonts w:ascii="Arial" w:hAnsi="Arial" w:cs="Arial"/>
          <w:sz w:val="20"/>
          <w:szCs w:val="19"/>
        </w:rPr>
        <w:t>mail</w:t>
      </w:r>
      <w:r w:rsidR="00CA4A4D">
        <w:rPr>
          <w:rFonts w:ascii="Arial" w:hAnsi="Arial" w:cs="Arial"/>
          <w:sz w:val="20"/>
          <w:szCs w:val="19"/>
        </w:rPr>
        <w:t xml:space="preserve">: </w:t>
      </w:r>
      <w:r w:rsidR="009857BE">
        <w:rPr>
          <w:rFonts w:ascii="Arial" w:hAnsi="Arial" w:cs="Arial"/>
          <w:sz w:val="20"/>
          <w:szCs w:val="19"/>
        </w:rPr>
        <w:t>cynybulkova@szdc.cz</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1A0268" w:rsidRPr="00D12BAD" w:rsidRDefault="001A0268" w:rsidP="000C0CFB">
      <w:pPr>
        <w:pStyle w:val="Zkladntextodsazen2"/>
        <w:suppressAutoHyphens/>
        <w:spacing w:after="0"/>
        <w:ind w:left="2160" w:hanging="54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rsidR="0008337F" w:rsidRPr="00D12BAD" w:rsidRDefault="0008337F" w:rsidP="0046101A">
      <w:pPr>
        <w:suppressAutoHyphens/>
        <w:spacing w:after="0"/>
        <w:rPr>
          <w:rFonts w:ascii="Arial" w:hAnsi="Arial" w:cs="Arial"/>
          <w:sz w:val="20"/>
          <w:szCs w:val="19"/>
        </w:rPr>
      </w:pP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0C0CFB" w:rsidRDefault="000C0CFB" w:rsidP="00862F1D">
      <w:pPr>
        <w:suppressAutoHyphens/>
        <w:spacing w:before="120"/>
        <w:ind w:left="1797" w:hanging="1797"/>
        <w:rPr>
          <w:rFonts w:ascii="Arial" w:hAnsi="Arial" w:cs="Arial"/>
          <w:b/>
          <w:sz w:val="20"/>
          <w:szCs w:val="19"/>
        </w:rPr>
      </w:pP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rsidR="0003044F" w:rsidRPr="008505EF" w:rsidRDefault="000B6F15" w:rsidP="0046101A">
      <w:pPr>
        <w:suppressAutoHyphens/>
        <w:ind w:left="567" w:hanging="567"/>
        <w:jc w:val="both"/>
        <w:rPr>
          <w:rFonts w:ascii="Arial" w:hAnsi="Arial" w:cs="Arial"/>
          <w:sz w:val="20"/>
          <w:szCs w:val="19"/>
        </w:rPr>
      </w:pPr>
      <w:r w:rsidRPr="00D12BAD">
        <w:rPr>
          <w:rFonts w:ascii="Arial" w:hAnsi="Arial" w:cs="Arial"/>
          <w:b/>
          <w:bCs/>
          <w:sz w:val="20"/>
          <w:szCs w:val="19"/>
        </w:rPr>
        <w:lastRenderedPageBreak/>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w:t>
      </w:r>
      <w:r w:rsidR="0066776E">
        <w:rPr>
          <w:rFonts w:ascii="Arial" w:hAnsi="Arial" w:cs="Arial"/>
          <w:sz w:val="20"/>
          <w:szCs w:val="19"/>
        </w:rPr>
        <w:t>ěny údajů uvedených v čl.</w:t>
      </w:r>
      <w:r w:rsidR="0008337F" w:rsidRPr="00D12BAD">
        <w:rPr>
          <w:rFonts w:ascii="Arial" w:hAnsi="Arial" w:cs="Arial"/>
          <w:sz w:val="20"/>
          <w:szCs w:val="19"/>
        </w:rPr>
        <w:t xml:space="preserve"> 1 této smlouvy, a to doporučeným dopisem s tím, že k tomuto oznámení musí být přiložena kopie listiny, dokládající oznamovanou změnu údajů.</w:t>
      </w:r>
    </w:p>
    <w:p w:rsidR="000B6F15" w:rsidRPr="00173BDA" w:rsidRDefault="000B6F15" w:rsidP="000C0CFB">
      <w:pPr>
        <w:suppressAutoHyphens/>
        <w:spacing w:before="240" w:after="240"/>
        <w:jc w:val="center"/>
        <w:rPr>
          <w:rFonts w:ascii="Arial" w:hAnsi="Arial" w:cs="Arial"/>
          <w:b/>
        </w:rPr>
      </w:pPr>
      <w:r w:rsidRPr="00173BDA">
        <w:rPr>
          <w:rFonts w:ascii="Arial" w:hAnsi="Arial" w:cs="Arial"/>
          <w:b/>
          <w:u w:val="single"/>
        </w:rPr>
        <w:t>Článek 2 -  P</w:t>
      </w:r>
      <w:r w:rsidR="000A2806" w:rsidRPr="00173BDA">
        <w:rPr>
          <w:rFonts w:ascii="Arial" w:hAnsi="Arial" w:cs="Arial"/>
          <w:b/>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003F4ED2" w:rsidRPr="003F4ED2">
        <w:rPr>
          <w:rFonts w:ascii="Arial" w:hAnsi="Arial" w:cs="Arial"/>
          <w:sz w:val="20"/>
          <w:szCs w:val="19"/>
        </w:rPr>
        <w:t xml:space="preserve">Předmětem díla je zhotovení stavby „Beroun - stavební úpravy stavědla č. 2“, jehož cílem je výstavba nové budovy na stávajícím půdorysu původního </w:t>
      </w:r>
      <w:r w:rsidR="003F4ED2">
        <w:rPr>
          <w:rFonts w:ascii="Arial" w:hAnsi="Arial" w:cs="Arial"/>
          <w:sz w:val="20"/>
          <w:szCs w:val="19"/>
        </w:rPr>
        <w:t>nevyhovujícího objektu stavědla</w:t>
      </w:r>
      <w:r w:rsidR="0066776E">
        <w:rPr>
          <w:rFonts w:ascii="Arial" w:hAnsi="Arial" w:cs="Arial"/>
          <w:sz w:val="20"/>
          <w:szCs w:val="19"/>
        </w:rPr>
        <w:t>.</w:t>
      </w:r>
      <w:r w:rsidR="00120B3A">
        <w:rPr>
          <w:rFonts w:ascii="Arial" w:hAnsi="Arial" w:cs="Arial"/>
          <w:sz w:val="20"/>
          <w:szCs w:val="19"/>
        </w:rPr>
        <w:t xml:space="preserve"> </w:t>
      </w:r>
    </w:p>
    <w:p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r>
        <w:rPr>
          <w:rFonts w:ascii="Arial" w:hAnsi="Arial" w:cs="Arial"/>
          <w:b/>
          <w:sz w:val="19"/>
          <w:szCs w:val="19"/>
        </w:rPr>
        <w:t>3.1.</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2F3C41">
        <w:rPr>
          <w:rFonts w:ascii="Arial" w:hAnsi="Arial" w:cs="Arial"/>
          <w:sz w:val="20"/>
          <w:szCs w:val="19"/>
        </w:rPr>
        <w:t>1268</w:t>
      </w:r>
      <w:r w:rsidR="0066776E">
        <w:rPr>
          <w:rFonts w:ascii="Arial" w:hAnsi="Arial" w:cs="Arial"/>
          <w:sz w:val="20"/>
          <w:szCs w:val="19"/>
        </w:rPr>
        <w:t>/20</w:t>
      </w:r>
      <w:r w:rsidR="002F3C41">
        <w:rPr>
          <w:rFonts w:ascii="Arial" w:hAnsi="Arial" w:cs="Arial"/>
          <w:sz w:val="20"/>
          <w:szCs w:val="19"/>
        </w:rPr>
        <w:t>20</w:t>
      </w:r>
      <w:r w:rsidRPr="009E1257">
        <w:rPr>
          <w:rFonts w:ascii="Arial" w:hAnsi="Arial" w:cs="Arial"/>
          <w:sz w:val="20"/>
          <w:szCs w:val="19"/>
        </w:rPr>
        <w:t xml:space="preserve">/SŽDC-SSZ-OVZ ze dne </w:t>
      </w:r>
      <w:r w:rsidR="002F3C41">
        <w:rPr>
          <w:rFonts w:ascii="Arial" w:hAnsi="Arial" w:cs="Arial"/>
          <w:sz w:val="20"/>
          <w:szCs w:val="19"/>
        </w:rPr>
        <w:t>21.1.2020</w:t>
      </w:r>
      <w:r w:rsidR="002B6F68">
        <w:rPr>
          <w:rFonts w:ascii="Arial" w:hAnsi="Arial" w:cs="Arial"/>
          <w:sz w:val="20"/>
          <w:szCs w:val="19"/>
        </w:rPr>
        <w:t>, vč. příloh</w:t>
      </w:r>
    </w:p>
    <w:p w:rsidR="009551CE" w:rsidRPr="0066776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Rozhodnutím a    </w:t>
      </w:r>
      <w:r w:rsidRPr="00431CFD">
        <w:rPr>
          <w:rFonts w:ascii="Arial" w:hAnsi="Arial" w:cs="Arial"/>
          <w:sz w:val="20"/>
          <w:szCs w:val="19"/>
        </w:rPr>
        <w:t xml:space="preserve">oznámením zadavatele o výběru dodavatele čj.: </w:t>
      </w:r>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31CFD" w:rsidRPr="00431CFD">
        <w:rPr>
          <w:rFonts w:ascii="Arial" w:hAnsi="Arial" w:cs="Arial"/>
          <w:sz w:val="20"/>
          <w:szCs w:val="19"/>
        </w:rPr>
        <w:t>/SŽDC-SSZ-OVZ</w:t>
      </w:r>
      <w:r w:rsidRPr="00431CFD">
        <w:rPr>
          <w:rFonts w:ascii="Arial" w:hAnsi="Arial" w:cs="Arial"/>
          <w:sz w:val="20"/>
          <w:szCs w:val="19"/>
        </w:rPr>
        <w:t xml:space="preserve">   ze dne </w:t>
      </w:r>
    </w:p>
    <w:p w:rsidR="009E1257"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8"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0" w:history="1">
        <w:r w:rsidR="00C811EF" w:rsidRPr="00C811EF">
          <w:rPr>
            <w:rStyle w:val="Hypertextovodkaz"/>
            <w:rFonts w:ascii="Arial" w:hAnsi="Arial" w:cs="Arial"/>
            <w:color w:val="auto"/>
            <w:sz w:val="20"/>
            <w:szCs w:val="20"/>
          </w:rPr>
          <w:t>https://www.szdc.cz/</w:t>
        </w:r>
      </w:hyperlink>
      <w:r w:rsidR="00C811EF" w:rsidRPr="00C811EF">
        <w:rPr>
          <w:rFonts w:ascii="Arial" w:hAnsi="Arial" w:cs="Arial"/>
          <w:sz w:val="20"/>
          <w:szCs w:val="20"/>
        </w:rPr>
        <w:t xml:space="preserve"> (v sekci „O nás“ –&gt; „Vnitřní předpisy“ odkaz „Dokumenty a předpisy“) a na </w:t>
      </w:r>
      <w:hyperlink r:id="rId11"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173BDA" w:rsidRDefault="000B6F15" w:rsidP="0046101A">
      <w:pPr>
        <w:pStyle w:val="Nadpis1"/>
        <w:suppressAutoHyphens/>
        <w:spacing w:after="240"/>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4 - Lhůty k provedení díla</w:t>
      </w:r>
    </w:p>
    <w:p w:rsidR="00D12BAD" w:rsidRPr="00D12BAD" w:rsidRDefault="00A11B02" w:rsidP="0046101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Pr="00D12BAD" w:rsidRDefault="009551CE" w:rsidP="0046101A">
      <w:pPr>
        <w:numPr>
          <w:ilvl w:val="1"/>
          <w:numId w:val="7"/>
        </w:numPr>
        <w:suppressAutoHyphens/>
        <w:overflowPunct w:val="0"/>
        <w:autoSpaceDE w:val="0"/>
        <w:spacing w:before="240"/>
        <w:ind w:left="567" w:hanging="567"/>
        <w:rPr>
          <w:rFonts w:ascii="Arial" w:hAnsi="Arial" w:cs="Arial"/>
          <w:sz w:val="20"/>
          <w:szCs w:val="19"/>
        </w:rPr>
      </w:pPr>
      <w:r>
        <w:rPr>
          <w:rFonts w:ascii="Arial" w:hAnsi="Arial" w:cs="Arial"/>
          <w:sz w:val="20"/>
          <w:szCs w:val="19"/>
        </w:rPr>
        <w:t>Zhotovitel se zavazuje dokončit dílo</w:t>
      </w:r>
      <w:r>
        <w:rPr>
          <w:rFonts w:ascii="Arial" w:hAnsi="Arial" w:cs="Arial"/>
          <w:sz w:val="20"/>
          <w:szCs w:val="19"/>
        </w:rPr>
        <w:tab/>
      </w:r>
      <w:r>
        <w:rPr>
          <w:rFonts w:ascii="Arial" w:hAnsi="Arial" w:cs="Arial"/>
          <w:sz w:val="20"/>
          <w:szCs w:val="19"/>
        </w:rPr>
        <w:tab/>
      </w:r>
      <w:r w:rsidR="002F3C41">
        <w:rPr>
          <w:rFonts w:ascii="Arial" w:hAnsi="Arial" w:cs="Arial"/>
          <w:b/>
          <w:sz w:val="20"/>
          <w:szCs w:val="19"/>
        </w:rPr>
        <w:t>10/2020</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Zhotovitel se zavazuje v souladu s touto smlouvou zhoto</w:t>
      </w:r>
      <w:r w:rsidR="00431CFD">
        <w:rPr>
          <w:rFonts w:ascii="Arial" w:hAnsi="Arial" w:cs="Arial"/>
          <w:sz w:val="20"/>
          <w:szCs w:val="19"/>
        </w:rPr>
        <w:t xml:space="preserve">vit stavbu a vypracovat kompletní </w:t>
      </w:r>
      <w:r>
        <w:rPr>
          <w:rFonts w:ascii="Arial" w:hAnsi="Arial" w:cs="Arial"/>
          <w:sz w:val="20"/>
          <w:szCs w:val="19"/>
        </w:rPr>
        <w:t>dokumentaci související s prováděnou stavbou.</w:t>
      </w:r>
    </w:p>
    <w:p w:rsidR="00A11B02" w:rsidRPr="00D12BAD"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r w:rsidRPr="000B1644">
        <w:rPr>
          <w:rFonts w:ascii="Arial" w:hAnsi="Arial" w:cs="Arial"/>
          <w:b/>
          <w:sz w:val="20"/>
          <w:szCs w:val="20"/>
        </w:rPr>
        <w:t xml:space="preserve">…….…   ,- </w:t>
      </w:r>
      <w:r w:rsidRPr="000B1644">
        <w:rPr>
          <w:rFonts w:ascii="Arial" w:hAnsi="Arial" w:cs="Arial"/>
          <w:b/>
          <w:sz w:val="20"/>
          <w:szCs w:val="20"/>
        </w:rPr>
        <w:tab/>
        <w:t>Kč</w:t>
      </w:r>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tab/>
        <w:t>b) DPH (základní sazba) ……………………………………………………,.-</w:t>
      </w:r>
      <w:r w:rsidRPr="000B1644">
        <w:rPr>
          <w:rFonts w:ascii="Arial" w:hAnsi="Arial" w:cs="Arial"/>
          <w:sz w:val="20"/>
          <w:szCs w:val="20"/>
        </w:rPr>
        <w:tab/>
        <w:t>Kč</w:t>
      </w:r>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 ,-</w:t>
      </w:r>
      <w:r w:rsidRPr="002C440C">
        <w:rPr>
          <w:rFonts w:ascii="Arial" w:hAnsi="Arial" w:cs="Arial"/>
          <w:sz w:val="20"/>
          <w:szCs w:val="20"/>
        </w:rPr>
        <w:tab/>
      </w:r>
      <w:r>
        <w:rPr>
          <w:rFonts w:ascii="Arial" w:hAnsi="Arial" w:cs="Arial"/>
          <w:sz w:val="20"/>
          <w:szCs w:val="20"/>
        </w:rPr>
        <w:t>Kč</w:t>
      </w:r>
    </w:p>
    <w:p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lastRenderedPageBreak/>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ust. § 1765 odst. 2 a </w:t>
      </w:r>
      <w:r w:rsidR="00431CFD" w:rsidRPr="00431CFD">
        <w:rPr>
          <w:rFonts w:ascii="Arial" w:hAnsi="Arial" w:cs="Arial"/>
          <w:sz w:val="20"/>
          <w:szCs w:val="20"/>
        </w:rPr>
        <w:t xml:space="preserve">ust.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Default="00601B76" w:rsidP="0046101A">
      <w:pPr>
        <w:ind w:left="567"/>
        <w:jc w:val="both"/>
        <w:rPr>
          <w:rFonts w:ascii="Arial" w:hAnsi="Arial" w:cs="Arial"/>
          <w:sz w:val="20"/>
        </w:rPr>
      </w:pPr>
      <w:r w:rsidRPr="00601B76">
        <w:rPr>
          <w:rFonts w:ascii="Arial" w:hAnsi="Arial" w:cs="Arial"/>
          <w:sz w:val="20"/>
        </w:rPr>
        <w:t>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1.1. smlouvy. Oprávněným vrácením daňového dokladu - faktury přestává běžet lhůta splatnosti, celá lhůta běží znovu ode dne doručení opraveného daňového dokladu - faktury.</w:t>
      </w:r>
    </w:p>
    <w:p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r>
        <w:rPr>
          <w:rFonts w:ascii="Arial" w:hAnsi="Arial" w:cs="Arial"/>
          <w:b/>
          <w:bCs/>
          <w:sz w:val="20"/>
        </w:rPr>
        <w:t>6.3</w:t>
      </w:r>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601B76" w:rsidRDefault="00601B76" w:rsidP="0046101A">
      <w:pPr>
        <w:spacing w:before="120"/>
        <w:ind w:left="567" w:hanging="567"/>
        <w:jc w:val="both"/>
        <w:rPr>
          <w:rFonts w:ascii="Arial" w:hAnsi="Arial" w:cs="Arial"/>
          <w:bCs/>
          <w:sz w:val="20"/>
        </w:rPr>
      </w:pPr>
      <w:r w:rsidRPr="00601B76">
        <w:rPr>
          <w:rFonts w:ascii="Arial" w:hAnsi="Arial" w:cs="Arial"/>
          <w:b/>
          <w:bCs/>
          <w:sz w:val="20"/>
        </w:rPr>
        <w:t>6.</w:t>
      </w:r>
      <w:r>
        <w:rPr>
          <w:rFonts w:ascii="Arial" w:hAnsi="Arial" w:cs="Arial"/>
          <w:b/>
          <w:bCs/>
          <w:sz w:val="20"/>
        </w:rPr>
        <w:t>6</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bCs/>
          <w:sz w:val="20"/>
        </w:rPr>
        <w:t>Zhotovitel se zavazuje k tomu, že neprovede jednostranný zápočet pohledávky.</w:t>
      </w:r>
    </w:p>
    <w:p w:rsidR="00601B76" w:rsidRPr="00601B76" w:rsidRDefault="00601B76" w:rsidP="0046101A">
      <w:pPr>
        <w:spacing w:before="120"/>
        <w:ind w:left="567" w:hanging="567"/>
        <w:jc w:val="both"/>
        <w:rPr>
          <w:rFonts w:ascii="Arial" w:hAnsi="Arial" w:cs="Arial"/>
          <w:sz w:val="20"/>
        </w:rPr>
      </w:pPr>
      <w:r w:rsidRPr="00601B76">
        <w:rPr>
          <w:rFonts w:ascii="Arial" w:hAnsi="Arial" w:cs="Arial"/>
          <w:b/>
          <w:sz w:val="20"/>
        </w:rPr>
        <w:t>6.</w:t>
      </w:r>
      <w:r>
        <w:rPr>
          <w:rFonts w:ascii="Arial" w:hAnsi="Arial" w:cs="Arial"/>
          <w:b/>
          <w:sz w:val="20"/>
        </w:rPr>
        <w:t>7</w:t>
      </w:r>
      <w:r w:rsidRPr="00601B76">
        <w:rPr>
          <w:rFonts w:ascii="Arial" w:hAnsi="Arial" w:cs="Arial"/>
          <w:b/>
          <w:sz w:val="20"/>
        </w:rPr>
        <w:t xml:space="preserve">.  </w:t>
      </w:r>
      <w:r w:rsidRPr="00601B76">
        <w:rPr>
          <w:rFonts w:ascii="Arial" w:hAnsi="Arial" w:cs="Arial"/>
          <w:b/>
          <w:sz w:val="20"/>
        </w:rPr>
        <w:tab/>
      </w:r>
      <w:r w:rsidRPr="00601B76">
        <w:rPr>
          <w:rFonts w:ascii="Arial" w:hAnsi="Arial" w:cs="Arial"/>
          <w:sz w:val="20"/>
        </w:rPr>
        <w:t>Finanční prostředky poskytované na základě této smlouvy zhotoviteli nemohou být předmětem výkonu práv třetích osob.</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lastRenderedPageBreak/>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r>
        <w:rPr>
          <w:rFonts w:ascii="Arial" w:hAnsi="Arial" w:cs="Arial"/>
          <w:b/>
          <w:sz w:val="20"/>
          <w:szCs w:val="19"/>
        </w:rPr>
        <w:t>7.3.</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lastRenderedPageBreak/>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dokumentaci skutečného provedení díla v počtu 3 paré</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vyjádření správců inž.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dohodnuta na </w:t>
      </w:r>
      <w:r w:rsidR="003F4ED2">
        <w:rPr>
          <w:rFonts w:ascii="Arial" w:hAnsi="Arial"/>
          <w:sz w:val="20"/>
          <w:szCs w:val="20"/>
        </w:rPr>
        <w:t>60</w:t>
      </w:r>
      <w:r w:rsidRPr="002B6F68">
        <w:rPr>
          <w:rFonts w:ascii="Arial" w:hAnsi="Arial"/>
          <w:sz w:val="20"/>
          <w:szCs w:val="20"/>
        </w:rPr>
        <w:t xml:space="preserve"> měsíců</w:t>
      </w:r>
      <w:r w:rsidR="002B6F68">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lastRenderedPageBreak/>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4.2. této s</w:t>
      </w:r>
      <w:r w:rsidRPr="00F56D85">
        <w:rPr>
          <w:rFonts w:ascii="Arial" w:hAnsi="Arial" w:cs="Arial"/>
          <w:sz w:val="20"/>
          <w:szCs w:val="20"/>
        </w:rPr>
        <w:t xml:space="preserve">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lastRenderedPageBreak/>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příloze smlouvy seznam svých subdodavatelů. Zhotovitel se zavazuje v případě zájmu o zadání prací subdodavateli neuvedenému v příloze vyžádat si předem souhlas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lastRenderedPageBreak/>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00885E73">
        <w:rPr>
          <w:rFonts w:ascii="Arial" w:hAnsi="Arial" w:cs="Arial"/>
          <w:sz w:val="20"/>
          <w:szCs w:val="20"/>
        </w:rPr>
        <w:t>79 ze dne 27.</w:t>
      </w:r>
      <w:r w:rsidRPr="003507B0">
        <w:rPr>
          <w:rFonts w:ascii="Arial" w:hAnsi="Arial" w:cs="Arial"/>
          <w:sz w:val="20"/>
          <w:szCs w:val="20"/>
        </w:rPr>
        <w:t>4.2016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710814" w:rsidRPr="00710814"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V případě, že zhotovi</w:t>
      </w:r>
      <w:r w:rsidR="00885E73">
        <w:rPr>
          <w:rFonts w:ascii="Arial" w:hAnsi="Arial"/>
          <w:b w:val="0"/>
          <w:sz w:val="20"/>
          <w:szCs w:val="20"/>
        </w:rPr>
        <w:t>tel zpracuje o</w:t>
      </w:r>
      <w:r w:rsidRPr="003507B0">
        <w:rPr>
          <w:rFonts w:ascii="Arial" w:hAnsi="Arial"/>
          <w:b w:val="0"/>
          <w:sz w:val="20"/>
          <w:szCs w:val="20"/>
        </w:rPr>
        <w:t xml:space="preserve">sobní </w:t>
      </w:r>
      <w:r w:rsidR="00885E73">
        <w:rPr>
          <w:rFonts w:ascii="Arial" w:hAnsi="Arial"/>
          <w:b w:val="0"/>
          <w:sz w:val="20"/>
          <w:szCs w:val="20"/>
        </w:rPr>
        <w:t>údaje nad rámec vymezený touto s</w:t>
      </w:r>
      <w:r w:rsidRPr="003507B0">
        <w:rPr>
          <w:rFonts w:ascii="Arial" w:hAnsi="Arial"/>
          <w:b w:val="0"/>
          <w:sz w:val="20"/>
          <w:szCs w:val="20"/>
        </w:rPr>
        <w:t xml:space="preserve">mlouvou/doloženými pokyny objednatele, považuje se ve vztahu k takovému zpracování za správce. Pokud tímto </w:t>
      </w:r>
      <w:r w:rsidR="00885E73">
        <w:rPr>
          <w:rFonts w:ascii="Arial" w:hAnsi="Arial"/>
          <w:b w:val="0"/>
          <w:sz w:val="20"/>
          <w:szCs w:val="20"/>
        </w:rPr>
        <w:t>zpracováním nad rámec vymezený s</w:t>
      </w:r>
      <w:r w:rsidRPr="003507B0">
        <w:rPr>
          <w:rFonts w:ascii="Arial" w:hAnsi="Arial"/>
          <w:b w:val="0"/>
          <w:sz w:val="20"/>
          <w:szCs w:val="20"/>
        </w:rPr>
        <w:t>mlouvou/doloženými pokyny objednatele vznikne objednateli škoda, je zhotovitel povinen škodu uhradit.</w:t>
      </w:r>
    </w:p>
    <w:p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263545" w:rsidRPr="00173BDA">
        <w:rPr>
          <w:sz w:val="24"/>
          <w:szCs w:val="24"/>
          <w:u w:val="single"/>
        </w:rPr>
        <w:t>4</w:t>
      </w:r>
      <w:r w:rsidRPr="00173BDA">
        <w:rPr>
          <w:sz w:val="24"/>
          <w:szCs w:val="24"/>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 xml:space="preserve">mlouvu lze uzavřít výhradně písemně s podpisy na jedné listině.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w:t>
      </w:r>
      <w:r w:rsidR="00885E73">
        <w:rPr>
          <w:rFonts w:ascii="Arial" w:hAnsi="Arial"/>
          <w:b w:val="0"/>
          <w:sz w:val="20"/>
          <w:szCs w:val="20"/>
        </w:rPr>
        <w:t xml:space="preserve"> (zákon o registru smluv)</w:t>
      </w:r>
      <w:r w:rsidR="00AD4983" w:rsidRPr="00263545">
        <w:rPr>
          <w:rFonts w:ascii="Arial" w:hAnsi="Arial"/>
          <w:b w:val="0"/>
          <w:sz w:val="20"/>
          <w:szCs w:val="20"/>
        </w:rPr>
        <w:t>, v platném znění</w:t>
      </w:r>
      <w:r w:rsidR="0013540E">
        <w:rPr>
          <w:rFonts w:ascii="Arial" w:hAnsi="Arial"/>
          <w:b w:val="0"/>
          <w:sz w:val="20"/>
          <w:szCs w:val="20"/>
        </w:rPr>
        <w:t xml:space="preserve"> (dále jen „ZRS“).</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smlouvu je možné měnit či doplňovat pouze formou písemných, vzestupně číslovaných dodatků s podpisy na jedné listině.</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r w:rsidR="00885E73">
        <w:rPr>
          <w:rFonts w:ascii="Arial" w:hAnsi="Arial"/>
          <w:b w:val="0"/>
          <w:sz w:val="20"/>
          <w:szCs w:val="20"/>
        </w:rPr>
        <w:t xml:space="preserve">ust.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885E73">
        <w:rPr>
          <w:rFonts w:ascii="Arial" w:hAnsi="Arial"/>
          <w:b w:val="0"/>
          <w:sz w:val="20"/>
          <w:szCs w:val="20"/>
        </w:rPr>
        <w:t xml:space="preserve">ust.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Žádné úkony či jednání ze strany objednatele nelze považovat za příslib uzavření smlouvy nebo dodatku k ní. V souladu s ust.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r w:rsidR="00885E73">
        <w:rPr>
          <w:rFonts w:ascii="Arial" w:hAnsi="Arial"/>
          <w:b w:val="0"/>
          <w:sz w:val="20"/>
          <w:szCs w:val="20"/>
        </w:rPr>
        <w:t xml:space="preserve">ust.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lastRenderedPageBreak/>
        <w:t>Dle ust.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 smyslu ust.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í tajemství ve smyslu ust.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uveřejněny na základě ust.</w:t>
      </w:r>
      <w:r w:rsidRPr="00263545">
        <w:rPr>
          <w:rFonts w:ascii="Arial" w:hAnsi="Arial"/>
          <w:b w:val="0"/>
          <w:sz w:val="20"/>
          <w:szCs w:val="20"/>
        </w:rPr>
        <w:t xml:space="preserve">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ust.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A8218B" w:rsidRPr="00263545" w:rsidRDefault="00122EE0"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Tato smlouva je vyhotovena v</w:t>
      </w:r>
      <w:r w:rsidR="00E56B88" w:rsidRPr="00263545">
        <w:rPr>
          <w:rFonts w:ascii="Arial" w:hAnsi="Arial"/>
          <w:b w:val="0"/>
          <w:sz w:val="20"/>
          <w:szCs w:val="20"/>
        </w:rPr>
        <w:t>e</w:t>
      </w:r>
      <w:r w:rsidRPr="00263545">
        <w:rPr>
          <w:rFonts w:ascii="Arial" w:hAnsi="Arial"/>
          <w:b w:val="0"/>
          <w:sz w:val="20"/>
          <w:szCs w:val="20"/>
        </w:rPr>
        <w:t> </w:t>
      </w:r>
      <w:r w:rsidR="00E56B88" w:rsidRPr="00270B00">
        <w:rPr>
          <w:rFonts w:ascii="Arial" w:hAnsi="Arial"/>
          <w:sz w:val="20"/>
          <w:szCs w:val="20"/>
        </w:rPr>
        <w:t>čtyřech</w:t>
      </w:r>
      <w:r w:rsidRPr="00270B00">
        <w:rPr>
          <w:rFonts w:ascii="Arial" w:hAnsi="Arial"/>
          <w:sz w:val="20"/>
          <w:szCs w:val="20"/>
        </w:rPr>
        <w:t xml:space="preserve"> (</w:t>
      </w:r>
      <w:r w:rsidR="00E56B88" w:rsidRPr="00270B00">
        <w:rPr>
          <w:rFonts w:ascii="Arial" w:hAnsi="Arial"/>
          <w:sz w:val="20"/>
          <w:szCs w:val="20"/>
        </w:rPr>
        <w:t>4</w:t>
      </w:r>
      <w:r w:rsidRPr="00270B00">
        <w:rPr>
          <w:rFonts w:ascii="Arial" w:hAnsi="Arial"/>
          <w:sz w:val="20"/>
          <w:szCs w:val="20"/>
        </w:rPr>
        <w:t>)</w:t>
      </w:r>
      <w:r w:rsidRPr="00263545">
        <w:rPr>
          <w:rFonts w:ascii="Arial" w:hAnsi="Arial"/>
          <w:b w:val="0"/>
          <w:sz w:val="20"/>
          <w:szCs w:val="20"/>
        </w:rPr>
        <w:t xml:space="preserve"> vyhotoveních, z nichž </w:t>
      </w:r>
      <w:r w:rsidR="00E56B88" w:rsidRPr="00270B00">
        <w:rPr>
          <w:rFonts w:ascii="Arial" w:hAnsi="Arial"/>
          <w:sz w:val="20"/>
          <w:szCs w:val="20"/>
        </w:rPr>
        <w:t>dvě</w:t>
      </w:r>
      <w:r w:rsidRPr="00270B00">
        <w:rPr>
          <w:rFonts w:ascii="Arial" w:hAnsi="Arial"/>
          <w:sz w:val="20"/>
          <w:szCs w:val="20"/>
        </w:rPr>
        <w:t xml:space="preserve"> (</w:t>
      </w:r>
      <w:r w:rsidR="00E56B88" w:rsidRPr="00270B00">
        <w:rPr>
          <w:rFonts w:ascii="Arial" w:hAnsi="Arial"/>
          <w:sz w:val="20"/>
          <w:szCs w:val="20"/>
        </w:rPr>
        <w:t>2</w:t>
      </w:r>
      <w:r w:rsidRPr="00270B00">
        <w:rPr>
          <w:rFonts w:ascii="Arial" w:hAnsi="Arial"/>
          <w:sz w:val="20"/>
          <w:szCs w:val="20"/>
        </w:rPr>
        <w:t>)</w:t>
      </w:r>
      <w:r w:rsidRPr="00263545">
        <w:rPr>
          <w:rFonts w:ascii="Arial" w:hAnsi="Arial"/>
          <w:b w:val="0"/>
          <w:sz w:val="20"/>
          <w:szCs w:val="20"/>
        </w:rPr>
        <w:t xml:space="preserve"> vyhotovení obdrží objednatel a </w:t>
      </w:r>
      <w:r w:rsidRPr="00270B00">
        <w:rPr>
          <w:rFonts w:ascii="Arial" w:hAnsi="Arial"/>
          <w:sz w:val="20"/>
          <w:szCs w:val="20"/>
        </w:rPr>
        <w:t>dvě (2)</w:t>
      </w:r>
      <w:r w:rsidRPr="00263545">
        <w:rPr>
          <w:rFonts w:ascii="Arial" w:hAnsi="Arial"/>
          <w:b w:val="0"/>
          <w:sz w:val="20"/>
          <w:szCs w:val="20"/>
        </w:rPr>
        <w:t xml:space="preserve"> vyhotovení obdrží zhotovitel.</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9A040F" w:rsidRPr="002F3C41" w:rsidRDefault="00862196" w:rsidP="00403EB8">
      <w:pPr>
        <w:widowControl w:val="0"/>
        <w:spacing w:before="120"/>
        <w:ind w:left="539" w:hanging="539"/>
        <w:jc w:val="both"/>
        <w:rPr>
          <w:rFonts w:ascii="Arial" w:hAnsi="Arial" w:cs="Arial"/>
          <w:bCs/>
          <w:sz w:val="20"/>
          <w:szCs w:val="20"/>
        </w:rPr>
      </w:pPr>
      <w:r w:rsidRPr="002B6F68">
        <w:rPr>
          <w:rFonts w:ascii="Arial" w:hAnsi="Arial" w:cs="Arial"/>
          <w:sz w:val="20"/>
          <w:szCs w:val="20"/>
        </w:rPr>
        <w:tab/>
      </w:r>
      <w:r w:rsidR="00E2553D" w:rsidRPr="002F3C41">
        <w:rPr>
          <w:rFonts w:ascii="Arial" w:hAnsi="Arial" w:cs="Arial"/>
          <w:bCs/>
          <w:sz w:val="20"/>
          <w:szCs w:val="20"/>
        </w:rPr>
        <w:t xml:space="preserve">příloha </w:t>
      </w:r>
      <w:r w:rsidR="009A040F" w:rsidRPr="002F3C41">
        <w:rPr>
          <w:rFonts w:ascii="Arial" w:hAnsi="Arial" w:cs="Arial"/>
          <w:bCs/>
          <w:sz w:val="20"/>
          <w:szCs w:val="20"/>
        </w:rPr>
        <w:t xml:space="preserve">č. </w:t>
      </w:r>
      <w:r w:rsidR="00E56B88" w:rsidRPr="002F3C41">
        <w:rPr>
          <w:rFonts w:ascii="Arial" w:hAnsi="Arial" w:cs="Arial"/>
          <w:bCs/>
          <w:sz w:val="20"/>
          <w:szCs w:val="20"/>
        </w:rPr>
        <w:t>1</w:t>
      </w:r>
      <w:r w:rsidR="00E2553D" w:rsidRPr="002F3C41">
        <w:rPr>
          <w:rFonts w:ascii="Arial" w:hAnsi="Arial" w:cs="Arial"/>
          <w:bCs/>
          <w:sz w:val="20"/>
          <w:szCs w:val="20"/>
        </w:rPr>
        <w:t xml:space="preserve"> -</w:t>
      </w:r>
      <w:r w:rsidR="00885E73" w:rsidRPr="002F3C41">
        <w:rPr>
          <w:rFonts w:ascii="Arial" w:hAnsi="Arial" w:cs="Arial"/>
          <w:bCs/>
          <w:sz w:val="20"/>
          <w:szCs w:val="20"/>
        </w:rPr>
        <w:t xml:space="preserve"> Zvláštní technické podmínky</w:t>
      </w:r>
    </w:p>
    <w:p w:rsidR="0066286A" w:rsidRPr="00885E73" w:rsidRDefault="0066286A" w:rsidP="0066286A">
      <w:pPr>
        <w:widowControl w:val="0"/>
        <w:ind w:left="540"/>
        <w:jc w:val="both"/>
        <w:rPr>
          <w:rFonts w:ascii="Arial" w:hAnsi="Arial" w:cs="Arial"/>
          <w:sz w:val="20"/>
          <w:szCs w:val="20"/>
        </w:rPr>
      </w:pPr>
      <w:r w:rsidRPr="00885E73">
        <w:rPr>
          <w:rFonts w:ascii="Arial" w:hAnsi="Arial" w:cs="Arial"/>
          <w:sz w:val="20"/>
          <w:szCs w:val="20"/>
        </w:rPr>
        <w:lastRenderedPageBreak/>
        <w:t>Zhotovitel podpisem této smlouvy potvrzuje, že se všemi ustanoveními Zvláštních technických podmínek bez výhrad souhlasí.</w:t>
      </w:r>
    </w:p>
    <w:p w:rsidR="0028198F" w:rsidRPr="00263545" w:rsidRDefault="0028198F" w:rsidP="0066286A">
      <w:pPr>
        <w:widowControl w:val="0"/>
        <w:spacing w:before="120"/>
        <w:ind w:left="539"/>
        <w:jc w:val="both"/>
        <w:rPr>
          <w:rFonts w:ascii="Arial" w:hAnsi="Arial" w:cs="Arial"/>
          <w:bCs/>
          <w:sz w:val="20"/>
          <w:szCs w:val="20"/>
        </w:rPr>
      </w:pPr>
      <w:bookmarkStart w:id="0" w:name="_GoBack"/>
      <w:bookmarkEnd w:id="0"/>
      <w:r w:rsidRPr="002F3C41">
        <w:rPr>
          <w:rFonts w:ascii="Arial" w:hAnsi="Arial" w:cs="Arial"/>
          <w:bCs/>
          <w:sz w:val="20"/>
          <w:szCs w:val="20"/>
        </w:rPr>
        <w:t>příloha č. 2 – Oceněný soupis prací</w:t>
      </w:r>
    </w:p>
    <w:p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03EB8">
      <w:pPr>
        <w:widowControl w:val="0"/>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845" w:rsidRDefault="001C4845">
      <w:r>
        <w:separator/>
      </w:r>
    </w:p>
  </w:endnote>
  <w:endnote w:type="continuationSeparator" w:id="0">
    <w:p w:rsidR="001C4845" w:rsidRDefault="001C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2F3C41">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2F3C41">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2F3C41">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2F3C41">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845" w:rsidRDefault="001C4845">
      <w:r>
        <w:separator/>
      </w:r>
    </w:p>
  </w:footnote>
  <w:footnote w:type="continuationSeparator" w:id="0">
    <w:p w:rsidR="001C4845" w:rsidRDefault="001C4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ED2" w:rsidRPr="003F4ED2" w:rsidRDefault="003F4ED2" w:rsidP="003F4ED2">
    <w:pPr>
      <w:jc w:val="right"/>
      <w:rPr>
        <w:rFonts w:ascii="Arial" w:hAnsi="Arial" w:cs="Arial"/>
        <w:i/>
        <w:sz w:val="18"/>
        <w:szCs w:val="18"/>
      </w:rPr>
    </w:pPr>
    <w:r w:rsidRPr="003F4ED2">
      <w:rPr>
        <w:rFonts w:ascii="Arial" w:hAnsi="Arial" w:cs="Arial"/>
        <w:i/>
        <w:sz w:val="18"/>
        <w:szCs w:val="18"/>
      </w:rPr>
      <w:t>Optimalizace trati Beroun (včetně) – Králův Dvůr</w:t>
    </w:r>
  </w:p>
  <w:p w:rsidR="00F1357D" w:rsidRPr="00F1357D" w:rsidRDefault="003F4ED2" w:rsidP="003F4ED2">
    <w:pPr>
      <w:jc w:val="right"/>
      <w:rPr>
        <w:rFonts w:ascii="Arial" w:hAnsi="Arial" w:cs="Arial"/>
        <w:i/>
        <w:sz w:val="14"/>
        <w:szCs w:val="18"/>
      </w:rPr>
    </w:pPr>
    <w:r w:rsidRPr="003F4ED2">
      <w:rPr>
        <w:rFonts w:ascii="Arial" w:hAnsi="Arial" w:cs="Arial"/>
        <w:i/>
        <w:sz w:val="18"/>
        <w:szCs w:val="18"/>
      </w:rPr>
      <w:t>Realizace stavebních prací dle Změnového listu č. 29 v rámci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CA4A4D" w:rsidP="00CA4A4D">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00BA7710" w:rsidRPr="00BA7710">
      <w:rPr>
        <w:rFonts w:ascii="Arial" w:hAnsi="Arial" w:cs="Arial"/>
        <w:i/>
        <w:sz w:val="18"/>
        <w:szCs w:val="18"/>
      </w:rPr>
      <w:t>Optimalizace trati Beroun (včetně) – Králův Dvůr</w:t>
    </w:r>
  </w:p>
  <w:p w:rsidR="00E330FA" w:rsidRPr="000B227B" w:rsidRDefault="003F4ED2" w:rsidP="003F4ED2">
    <w:pPr>
      <w:pStyle w:val="Zhlav"/>
      <w:pBdr>
        <w:bottom w:val="single" w:sz="6" w:space="1" w:color="auto"/>
      </w:pBdr>
      <w:spacing w:after="0"/>
      <w:jc w:val="right"/>
      <w:rPr>
        <w:rFonts w:ascii="Arial" w:hAnsi="Arial" w:cs="Arial"/>
        <w:i/>
        <w:sz w:val="18"/>
        <w:szCs w:val="18"/>
      </w:rPr>
    </w:pPr>
    <w:r>
      <w:rPr>
        <w:rFonts w:ascii="Arial" w:hAnsi="Arial" w:cs="Arial"/>
        <w:i/>
        <w:sz w:val="18"/>
        <w:szCs w:val="18"/>
      </w:rPr>
      <w:t>Realizace stavebních</w:t>
    </w:r>
    <w:r w:rsidRPr="003F4ED2">
      <w:rPr>
        <w:rFonts w:ascii="Arial" w:hAnsi="Arial" w:cs="Arial"/>
        <w:i/>
        <w:sz w:val="18"/>
        <w:szCs w:val="18"/>
      </w:rPr>
      <w:t xml:space="preserve"> pr</w:t>
    </w:r>
    <w:r>
      <w:rPr>
        <w:rFonts w:ascii="Arial" w:hAnsi="Arial" w:cs="Arial"/>
        <w:i/>
        <w:sz w:val="18"/>
        <w:szCs w:val="18"/>
      </w:rPr>
      <w:t>ací</w:t>
    </w:r>
    <w:r w:rsidRPr="003F4ED2">
      <w:rPr>
        <w:rFonts w:ascii="Arial" w:hAnsi="Arial" w:cs="Arial"/>
        <w:i/>
        <w:sz w:val="18"/>
        <w:szCs w:val="18"/>
      </w:rPr>
      <w:t xml:space="preserve"> dle Změnového listu č. 29 v rámci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5"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8"/>
  </w:num>
  <w:num w:numId="4">
    <w:abstractNumId w:val="17"/>
  </w:num>
  <w:num w:numId="5">
    <w:abstractNumId w:val="16"/>
  </w:num>
  <w:num w:numId="6">
    <w:abstractNumId w:val="31"/>
  </w:num>
  <w:num w:numId="7">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num>
  <w:num w:numId="17">
    <w:abstractNumId w:val="2"/>
  </w:num>
  <w:num w:numId="18">
    <w:abstractNumId w:val="3"/>
  </w:num>
  <w:num w:numId="19">
    <w:abstractNumId w:val="25"/>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1"/>
  </w:num>
  <w:num w:numId="28">
    <w:abstractNumId w:val="20"/>
  </w:num>
  <w:num w:numId="29">
    <w:abstractNumId w:val="8"/>
  </w:num>
  <w:num w:numId="30">
    <w:abstractNumId w:val="14"/>
  </w:num>
  <w:num w:numId="31">
    <w:abstractNumId w:val="15"/>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4E84"/>
    <w:rsid w:val="000F171C"/>
    <w:rsid w:val="000F51CC"/>
    <w:rsid w:val="00103044"/>
    <w:rsid w:val="001100A9"/>
    <w:rsid w:val="00113332"/>
    <w:rsid w:val="00120B3A"/>
    <w:rsid w:val="00122DC9"/>
    <w:rsid w:val="00122EE0"/>
    <w:rsid w:val="001314A4"/>
    <w:rsid w:val="0013540E"/>
    <w:rsid w:val="00135ECF"/>
    <w:rsid w:val="00136EB5"/>
    <w:rsid w:val="001373D5"/>
    <w:rsid w:val="00151202"/>
    <w:rsid w:val="00153359"/>
    <w:rsid w:val="001703C9"/>
    <w:rsid w:val="00173BDA"/>
    <w:rsid w:val="0017734A"/>
    <w:rsid w:val="00182FB0"/>
    <w:rsid w:val="0018659F"/>
    <w:rsid w:val="0019131D"/>
    <w:rsid w:val="001917D0"/>
    <w:rsid w:val="001A0268"/>
    <w:rsid w:val="001A34B6"/>
    <w:rsid w:val="001B054B"/>
    <w:rsid w:val="001C2772"/>
    <w:rsid w:val="001C4845"/>
    <w:rsid w:val="001D4F34"/>
    <w:rsid w:val="001E07FC"/>
    <w:rsid w:val="001E21AA"/>
    <w:rsid w:val="001F1583"/>
    <w:rsid w:val="001F339E"/>
    <w:rsid w:val="00200510"/>
    <w:rsid w:val="00203F38"/>
    <w:rsid w:val="002129D9"/>
    <w:rsid w:val="00215319"/>
    <w:rsid w:val="00220B26"/>
    <w:rsid w:val="00221AA8"/>
    <w:rsid w:val="0022370E"/>
    <w:rsid w:val="00224A90"/>
    <w:rsid w:val="002474ED"/>
    <w:rsid w:val="00251E42"/>
    <w:rsid w:val="00253D63"/>
    <w:rsid w:val="00253E66"/>
    <w:rsid w:val="00255432"/>
    <w:rsid w:val="00260C55"/>
    <w:rsid w:val="0026305A"/>
    <w:rsid w:val="00263545"/>
    <w:rsid w:val="00265C26"/>
    <w:rsid w:val="0026700B"/>
    <w:rsid w:val="00270B00"/>
    <w:rsid w:val="0028198A"/>
    <w:rsid w:val="0028198F"/>
    <w:rsid w:val="0028349F"/>
    <w:rsid w:val="00294A30"/>
    <w:rsid w:val="002B1169"/>
    <w:rsid w:val="002B6F68"/>
    <w:rsid w:val="002C2F26"/>
    <w:rsid w:val="002C36EA"/>
    <w:rsid w:val="002C440C"/>
    <w:rsid w:val="002D2D3E"/>
    <w:rsid w:val="002D4E62"/>
    <w:rsid w:val="002E1BE1"/>
    <w:rsid w:val="002E6AF7"/>
    <w:rsid w:val="002E7069"/>
    <w:rsid w:val="002E76B5"/>
    <w:rsid w:val="002E7A98"/>
    <w:rsid w:val="002F33DD"/>
    <w:rsid w:val="002F3C41"/>
    <w:rsid w:val="0030564D"/>
    <w:rsid w:val="00305E68"/>
    <w:rsid w:val="00311CEB"/>
    <w:rsid w:val="00313B4C"/>
    <w:rsid w:val="003217FA"/>
    <w:rsid w:val="00323941"/>
    <w:rsid w:val="00330598"/>
    <w:rsid w:val="00337C29"/>
    <w:rsid w:val="00344282"/>
    <w:rsid w:val="003507B0"/>
    <w:rsid w:val="0035296A"/>
    <w:rsid w:val="00353404"/>
    <w:rsid w:val="00365379"/>
    <w:rsid w:val="0036660C"/>
    <w:rsid w:val="00376D29"/>
    <w:rsid w:val="00382683"/>
    <w:rsid w:val="0039514F"/>
    <w:rsid w:val="003A344D"/>
    <w:rsid w:val="003A5DFE"/>
    <w:rsid w:val="003A74B9"/>
    <w:rsid w:val="003B3C98"/>
    <w:rsid w:val="003D181F"/>
    <w:rsid w:val="003D601D"/>
    <w:rsid w:val="003F1484"/>
    <w:rsid w:val="003F4290"/>
    <w:rsid w:val="003F4ED2"/>
    <w:rsid w:val="0040227E"/>
    <w:rsid w:val="00402592"/>
    <w:rsid w:val="00403EB8"/>
    <w:rsid w:val="0041145B"/>
    <w:rsid w:val="00416C19"/>
    <w:rsid w:val="00417946"/>
    <w:rsid w:val="00422A18"/>
    <w:rsid w:val="00424B89"/>
    <w:rsid w:val="00425CE9"/>
    <w:rsid w:val="00430F8F"/>
    <w:rsid w:val="00431CFD"/>
    <w:rsid w:val="00433CB9"/>
    <w:rsid w:val="00433D5A"/>
    <w:rsid w:val="00436BC8"/>
    <w:rsid w:val="0043712D"/>
    <w:rsid w:val="00437246"/>
    <w:rsid w:val="0044014D"/>
    <w:rsid w:val="00441E10"/>
    <w:rsid w:val="00444283"/>
    <w:rsid w:val="0046101A"/>
    <w:rsid w:val="004617DC"/>
    <w:rsid w:val="004636C7"/>
    <w:rsid w:val="00463AFD"/>
    <w:rsid w:val="00463EB2"/>
    <w:rsid w:val="00466824"/>
    <w:rsid w:val="004720D0"/>
    <w:rsid w:val="00472BB6"/>
    <w:rsid w:val="00475F09"/>
    <w:rsid w:val="00476971"/>
    <w:rsid w:val="004972D1"/>
    <w:rsid w:val="004A0991"/>
    <w:rsid w:val="004A0AAD"/>
    <w:rsid w:val="004A6A97"/>
    <w:rsid w:val="004A7D62"/>
    <w:rsid w:val="004C18FA"/>
    <w:rsid w:val="004C49DC"/>
    <w:rsid w:val="004C6A85"/>
    <w:rsid w:val="004D1BB2"/>
    <w:rsid w:val="004D7CF8"/>
    <w:rsid w:val="004E009A"/>
    <w:rsid w:val="004E0C5D"/>
    <w:rsid w:val="004E1526"/>
    <w:rsid w:val="004F733A"/>
    <w:rsid w:val="0050178D"/>
    <w:rsid w:val="00503EB2"/>
    <w:rsid w:val="0051123F"/>
    <w:rsid w:val="00521BB1"/>
    <w:rsid w:val="00527F46"/>
    <w:rsid w:val="0053060B"/>
    <w:rsid w:val="00533244"/>
    <w:rsid w:val="00533D64"/>
    <w:rsid w:val="00536394"/>
    <w:rsid w:val="00540C5C"/>
    <w:rsid w:val="005421E7"/>
    <w:rsid w:val="00551E0B"/>
    <w:rsid w:val="0056151C"/>
    <w:rsid w:val="00564087"/>
    <w:rsid w:val="00570626"/>
    <w:rsid w:val="00576021"/>
    <w:rsid w:val="005A23E6"/>
    <w:rsid w:val="005A29B6"/>
    <w:rsid w:val="005D135A"/>
    <w:rsid w:val="005D4A66"/>
    <w:rsid w:val="005D4E6E"/>
    <w:rsid w:val="005E0DFC"/>
    <w:rsid w:val="005F6BC7"/>
    <w:rsid w:val="00601B76"/>
    <w:rsid w:val="00602581"/>
    <w:rsid w:val="00602E97"/>
    <w:rsid w:val="00605BB6"/>
    <w:rsid w:val="00610132"/>
    <w:rsid w:val="006133FF"/>
    <w:rsid w:val="00627365"/>
    <w:rsid w:val="0063095A"/>
    <w:rsid w:val="006313CF"/>
    <w:rsid w:val="00641998"/>
    <w:rsid w:val="00645E47"/>
    <w:rsid w:val="00651883"/>
    <w:rsid w:val="00653609"/>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4249D"/>
    <w:rsid w:val="0074445D"/>
    <w:rsid w:val="007555B9"/>
    <w:rsid w:val="00757B75"/>
    <w:rsid w:val="00761762"/>
    <w:rsid w:val="00774E2C"/>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6B92"/>
    <w:rsid w:val="007E79EF"/>
    <w:rsid w:val="007F1E14"/>
    <w:rsid w:val="007F4654"/>
    <w:rsid w:val="008005E3"/>
    <w:rsid w:val="00805A8E"/>
    <w:rsid w:val="0080727B"/>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6C1C"/>
    <w:rsid w:val="008D2EE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508CE"/>
    <w:rsid w:val="009537A3"/>
    <w:rsid w:val="00953D66"/>
    <w:rsid w:val="0095431D"/>
    <w:rsid w:val="009551CE"/>
    <w:rsid w:val="009557BE"/>
    <w:rsid w:val="0095698F"/>
    <w:rsid w:val="00970380"/>
    <w:rsid w:val="00976298"/>
    <w:rsid w:val="0098014F"/>
    <w:rsid w:val="0098269D"/>
    <w:rsid w:val="009857BE"/>
    <w:rsid w:val="00986529"/>
    <w:rsid w:val="00993A73"/>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30521"/>
    <w:rsid w:val="00A408D9"/>
    <w:rsid w:val="00A441A9"/>
    <w:rsid w:val="00A51A09"/>
    <w:rsid w:val="00A57015"/>
    <w:rsid w:val="00A603B8"/>
    <w:rsid w:val="00A63650"/>
    <w:rsid w:val="00A66F93"/>
    <w:rsid w:val="00A67804"/>
    <w:rsid w:val="00A8172C"/>
    <w:rsid w:val="00A81965"/>
    <w:rsid w:val="00A8218B"/>
    <w:rsid w:val="00A82EC8"/>
    <w:rsid w:val="00A853AA"/>
    <w:rsid w:val="00A97BA2"/>
    <w:rsid w:val="00AA0FA5"/>
    <w:rsid w:val="00AB1869"/>
    <w:rsid w:val="00AB63D0"/>
    <w:rsid w:val="00AB7470"/>
    <w:rsid w:val="00AC3363"/>
    <w:rsid w:val="00AC4CF5"/>
    <w:rsid w:val="00AD27AA"/>
    <w:rsid w:val="00AD2A7A"/>
    <w:rsid w:val="00AD4983"/>
    <w:rsid w:val="00AD696E"/>
    <w:rsid w:val="00AE0B2F"/>
    <w:rsid w:val="00AF0B36"/>
    <w:rsid w:val="00AF6C23"/>
    <w:rsid w:val="00B075AD"/>
    <w:rsid w:val="00B10B41"/>
    <w:rsid w:val="00B14E50"/>
    <w:rsid w:val="00B15F80"/>
    <w:rsid w:val="00B20514"/>
    <w:rsid w:val="00B33C9A"/>
    <w:rsid w:val="00B41B3F"/>
    <w:rsid w:val="00B42031"/>
    <w:rsid w:val="00B51469"/>
    <w:rsid w:val="00B5584B"/>
    <w:rsid w:val="00B56E7A"/>
    <w:rsid w:val="00B65E3E"/>
    <w:rsid w:val="00B70528"/>
    <w:rsid w:val="00B72446"/>
    <w:rsid w:val="00B73680"/>
    <w:rsid w:val="00B87076"/>
    <w:rsid w:val="00B92C42"/>
    <w:rsid w:val="00B951C3"/>
    <w:rsid w:val="00B956EA"/>
    <w:rsid w:val="00BA7710"/>
    <w:rsid w:val="00BB02F6"/>
    <w:rsid w:val="00BB6897"/>
    <w:rsid w:val="00BC1AA3"/>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22BF1"/>
    <w:rsid w:val="00C33ECA"/>
    <w:rsid w:val="00C33EE0"/>
    <w:rsid w:val="00C348F5"/>
    <w:rsid w:val="00C35FEF"/>
    <w:rsid w:val="00C40644"/>
    <w:rsid w:val="00C44DF3"/>
    <w:rsid w:val="00C56B9B"/>
    <w:rsid w:val="00C57309"/>
    <w:rsid w:val="00C6310B"/>
    <w:rsid w:val="00C71F06"/>
    <w:rsid w:val="00C75D9A"/>
    <w:rsid w:val="00C811EF"/>
    <w:rsid w:val="00C8162F"/>
    <w:rsid w:val="00C867D8"/>
    <w:rsid w:val="00C90B96"/>
    <w:rsid w:val="00C911FE"/>
    <w:rsid w:val="00CA1E21"/>
    <w:rsid w:val="00CA4A4D"/>
    <w:rsid w:val="00CA7AD4"/>
    <w:rsid w:val="00CB1FF9"/>
    <w:rsid w:val="00CB36C8"/>
    <w:rsid w:val="00CB4DCF"/>
    <w:rsid w:val="00CC40DA"/>
    <w:rsid w:val="00CC4771"/>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733E"/>
    <w:rsid w:val="00D20D66"/>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C6886"/>
    <w:rsid w:val="00DD1091"/>
    <w:rsid w:val="00DD30D4"/>
    <w:rsid w:val="00DD312F"/>
    <w:rsid w:val="00DE2629"/>
    <w:rsid w:val="00DF203E"/>
    <w:rsid w:val="00DF399E"/>
    <w:rsid w:val="00E01F5D"/>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747E8"/>
    <w:rsid w:val="00E8638D"/>
    <w:rsid w:val="00E925FD"/>
    <w:rsid w:val="00E9769E"/>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EA9"/>
    <w:rsid w:val="00F4363E"/>
    <w:rsid w:val="00F44C30"/>
    <w:rsid w:val="00F552CD"/>
    <w:rsid w:val="00F56D15"/>
    <w:rsid w:val="00F56D85"/>
    <w:rsid w:val="00F61EE7"/>
    <w:rsid w:val="00F718C2"/>
    <w:rsid w:val="00F75B69"/>
    <w:rsid w:val="00F75DBC"/>
    <w:rsid w:val="00F7793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98FAFE"/>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597F9-D8CE-4900-9D60-DE2BC88F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10</Pages>
  <Words>4458</Words>
  <Characters>26305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23</cp:revision>
  <cp:lastPrinted>2019-06-13T05:37:00Z</cp:lastPrinted>
  <dcterms:created xsi:type="dcterms:W3CDTF">2019-03-18T09:16:00Z</dcterms:created>
  <dcterms:modified xsi:type="dcterms:W3CDTF">2020-01-22T11:30:00Z</dcterms:modified>
</cp:coreProperties>
</file>